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48C83" w14:textId="77777777" w:rsidR="00E35AC3" w:rsidRPr="00C611BC" w:rsidRDefault="00E35AC3" w:rsidP="00783BD7">
      <w:pPr>
        <w:spacing w:after="0" w:line="480" w:lineRule="auto"/>
        <w:ind w:firstLine="720"/>
        <w:contextualSpacing/>
        <w:rPr>
          <w:rFonts w:ascii="Times New Roman" w:hAnsi="Times New Roman" w:cs="Times New Roman"/>
          <w:sz w:val="24"/>
          <w:szCs w:val="24"/>
        </w:rPr>
      </w:pPr>
    </w:p>
    <w:p w14:paraId="23B2C062" w14:textId="77777777" w:rsidR="00E35AC3" w:rsidRPr="00C611BC" w:rsidRDefault="00E35AC3" w:rsidP="00783BD7">
      <w:pPr>
        <w:spacing w:after="0" w:line="480" w:lineRule="auto"/>
        <w:ind w:firstLine="720"/>
        <w:jc w:val="center"/>
        <w:rPr>
          <w:rFonts w:ascii="Times New Roman" w:hAnsi="Times New Roman" w:cs="Times New Roman"/>
          <w:sz w:val="24"/>
          <w:szCs w:val="24"/>
        </w:rPr>
      </w:pPr>
      <w:bookmarkStart w:id="0" w:name="_GoBack"/>
      <w:bookmarkEnd w:id="0"/>
    </w:p>
    <w:p w14:paraId="4599733F"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7C7AAB6E"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366FEFA0"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223FB7A3"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72C1D8BE"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00C40FFB"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7C86F0A1" w14:textId="77777777" w:rsidR="00E35AC3" w:rsidRPr="00C611BC" w:rsidRDefault="00E35AC3" w:rsidP="00783BD7">
      <w:pPr>
        <w:spacing w:after="0" w:line="480" w:lineRule="auto"/>
        <w:ind w:firstLine="720"/>
        <w:jc w:val="center"/>
        <w:rPr>
          <w:rFonts w:ascii="Times New Roman" w:hAnsi="Times New Roman" w:cs="Times New Roman"/>
          <w:sz w:val="24"/>
          <w:szCs w:val="24"/>
        </w:rPr>
      </w:pPr>
    </w:p>
    <w:p w14:paraId="6E94D196" w14:textId="17E6BF3E" w:rsidR="00E35AC3" w:rsidRPr="00C611BC" w:rsidRDefault="00E35AC3" w:rsidP="00783BD7">
      <w:pPr>
        <w:spacing w:after="0" w:line="480" w:lineRule="auto"/>
        <w:ind w:firstLine="720"/>
        <w:jc w:val="center"/>
        <w:rPr>
          <w:rFonts w:ascii="Times New Roman" w:hAnsi="Times New Roman" w:cs="Times New Roman"/>
          <w:sz w:val="24"/>
          <w:szCs w:val="24"/>
        </w:rPr>
      </w:pPr>
      <w:r w:rsidRPr="00C611BC">
        <w:rPr>
          <w:rFonts w:ascii="Times New Roman" w:hAnsi="Times New Roman" w:cs="Times New Roman"/>
          <w:sz w:val="24"/>
          <w:szCs w:val="24"/>
        </w:rPr>
        <w:t>Early Learning Systems</w:t>
      </w:r>
    </w:p>
    <w:p w14:paraId="5E39545D" w14:textId="77777777" w:rsidR="00E35AC3" w:rsidRPr="00C611BC" w:rsidRDefault="00E35AC3" w:rsidP="00783BD7">
      <w:pPr>
        <w:spacing w:after="0" w:line="480" w:lineRule="auto"/>
        <w:ind w:firstLine="720"/>
        <w:jc w:val="center"/>
        <w:rPr>
          <w:rFonts w:ascii="Times New Roman" w:hAnsi="Times New Roman" w:cs="Times New Roman"/>
          <w:sz w:val="24"/>
          <w:szCs w:val="24"/>
        </w:rPr>
      </w:pPr>
      <w:r w:rsidRPr="00C611BC">
        <w:rPr>
          <w:rFonts w:ascii="Times New Roman" w:hAnsi="Times New Roman" w:cs="Times New Roman"/>
          <w:sz w:val="24"/>
          <w:szCs w:val="24"/>
        </w:rPr>
        <w:t>Name of Student</w:t>
      </w:r>
    </w:p>
    <w:p w14:paraId="2A1A5476" w14:textId="58664AC7" w:rsidR="00E35AC3" w:rsidRPr="00C611BC" w:rsidRDefault="00E35AC3" w:rsidP="00783BD7">
      <w:pPr>
        <w:spacing w:after="0" w:line="480" w:lineRule="auto"/>
        <w:ind w:firstLine="720"/>
        <w:jc w:val="center"/>
        <w:rPr>
          <w:rFonts w:ascii="Times New Roman" w:hAnsi="Times New Roman" w:cs="Times New Roman"/>
          <w:sz w:val="24"/>
          <w:szCs w:val="24"/>
        </w:rPr>
      </w:pPr>
      <w:r w:rsidRPr="00C611BC">
        <w:rPr>
          <w:rFonts w:ascii="Times New Roman" w:hAnsi="Times New Roman" w:cs="Times New Roman"/>
          <w:sz w:val="24"/>
          <w:szCs w:val="24"/>
        </w:rPr>
        <w:t>Institutional Affiliation</w:t>
      </w:r>
      <w:r w:rsidRPr="00C611BC">
        <w:rPr>
          <w:rFonts w:ascii="Times New Roman" w:hAnsi="Times New Roman" w:cs="Times New Roman"/>
          <w:sz w:val="24"/>
          <w:szCs w:val="24"/>
        </w:rPr>
        <w:br w:type="page"/>
      </w:r>
    </w:p>
    <w:p w14:paraId="18B15481" w14:textId="77777777" w:rsidR="00783BD7" w:rsidRPr="00C611BC" w:rsidRDefault="00783BD7" w:rsidP="00783BD7">
      <w:pPr>
        <w:spacing w:after="0" w:line="480" w:lineRule="auto"/>
        <w:ind w:firstLine="720"/>
        <w:jc w:val="center"/>
        <w:rPr>
          <w:rFonts w:ascii="Times New Roman" w:hAnsi="Times New Roman" w:cs="Times New Roman"/>
          <w:sz w:val="24"/>
          <w:szCs w:val="24"/>
        </w:rPr>
      </w:pPr>
      <w:r w:rsidRPr="00C611BC">
        <w:rPr>
          <w:rFonts w:ascii="Times New Roman" w:hAnsi="Times New Roman" w:cs="Times New Roman"/>
          <w:sz w:val="24"/>
          <w:szCs w:val="24"/>
        </w:rPr>
        <w:lastRenderedPageBreak/>
        <w:t>Early Learning Systems</w:t>
      </w:r>
    </w:p>
    <w:p w14:paraId="65EC3994" w14:textId="37CF631E" w:rsidR="00AD59CA" w:rsidRPr="00C611BC" w:rsidRDefault="00AD59CA" w:rsidP="00783BD7">
      <w:pPr>
        <w:spacing w:after="0" w:line="480" w:lineRule="auto"/>
        <w:contextualSpacing/>
        <w:rPr>
          <w:rFonts w:ascii="Times New Roman" w:hAnsi="Times New Roman" w:cs="Times New Roman"/>
          <w:sz w:val="24"/>
          <w:szCs w:val="24"/>
        </w:rPr>
      </w:pPr>
      <w:r w:rsidRPr="00C611BC">
        <w:rPr>
          <w:rFonts w:ascii="Times New Roman" w:hAnsi="Times New Roman" w:cs="Times New Roman"/>
          <w:sz w:val="24"/>
          <w:szCs w:val="24"/>
        </w:rPr>
        <w:t>Question 1</w:t>
      </w:r>
    </w:p>
    <w:p w14:paraId="5094A5E1" w14:textId="6D77DD2B" w:rsidR="009353EB"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Ontario's Renewed Early Years and Child Care Policy Framework envisions that all children and families should access a range of high-quality, inclusive, and affordable early years and childcare programs and services. These programs and services centred on children and families contributing to the children's learning, development, and well-being</w:t>
      </w:r>
      <w:r w:rsidR="00E35AC3" w:rsidRPr="00C611BC">
        <w:rPr>
          <w:rFonts w:ascii="Times New Roman" w:hAnsi="Times New Roman" w:cs="Times New Roman"/>
          <w:sz w:val="24"/>
          <w:szCs w:val="24"/>
        </w:rPr>
        <w:t xml:space="preserve"> </w:t>
      </w:r>
      <w:r w:rsidR="00A2521A" w:rsidRPr="00C611BC">
        <w:rPr>
          <w:rFonts w:ascii="Times New Roman" w:hAnsi="Times New Roman" w:cs="Times New Roman"/>
          <w:sz w:val="24"/>
          <w:szCs w:val="24"/>
        </w:rPr>
        <w:t>(Employment and Social Development Canada, 2018)</w:t>
      </w:r>
      <w:r w:rsidRPr="00C611BC">
        <w:rPr>
          <w:rFonts w:ascii="Times New Roman" w:hAnsi="Times New Roman" w:cs="Times New Roman"/>
          <w:sz w:val="24"/>
          <w:szCs w:val="24"/>
        </w:rPr>
        <w:t xml:space="preserve">. </w:t>
      </w:r>
      <w:r w:rsidR="0052047E" w:rsidRPr="00C611BC">
        <w:rPr>
          <w:rFonts w:ascii="Times New Roman" w:hAnsi="Times New Roman" w:cs="Times New Roman"/>
          <w:sz w:val="24"/>
          <w:szCs w:val="24"/>
        </w:rPr>
        <w:t>The Indigenous Early Learning and Child Care Framework vision is based on cultural identity in determining families' and children's safety and happiness. The framework advocates for developing a comprehensive system of policies, programs, and services led by the indigenous people, made of indigenous knowledge, culture, and language (</w:t>
      </w:r>
      <w:r w:rsidR="00215DB6" w:rsidRPr="00C611BC">
        <w:rPr>
          <w:rFonts w:ascii="Times New Roman" w:hAnsi="Times New Roman" w:cs="Times New Roman"/>
          <w:color w:val="1A1A1A"/>
          <w:sz w:val="24"/>
          <w:szCs w:val="24"/>
        </w:rPr>
        <w:t>Ontario Ministry of Education. 2014c</w:t>
      </w:r>
      <w:r w:rsidR="0052047E" w:rsidRPr="00C611BC">
        <w:rPr>
          <w:rFonts w:ascii="Times New Roman" w:hAnsi="Times New Roman" w:cs="Times New Roman"/>
          <w:sz w:val="24"/>
          <w:szCs w:val="24"/>
        </w:rPr>
        <w:t>). The system is designed so that it is inclusive of the needs and aspirations of the indigenous families and children.</w:t>
      </w:r>
    </w:p>
    <w:p w14:paraId="2DE9D3EA" w14:textId="3B417F6B" w:rsidR="009353EB" w:rsidRPr="00C611BC" w:rsidRDefault="007156ED"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 xml:space="preserve">The Ontario’s framework is similar to the </w:t>
      </w:r>
      <w:r w:rsidR="009353EB" w:rsidRPr="00C611BC">
        <w:rPr>
          <w:rFonts w:ascii="Times New Roman" w:hAnsi="Times New Roman" w:cs="Times New Roman"/>
          <w:sz w:val="24"/>
          <w:szCs w:val="24"/>
        </w:rPr>
        <w:t>indigenous</w:t>
      </w:r>
      <w:r w:rsidRPr="00C611BC">
        <w:rPr>
          <w:rFonts w:ascii="Times New Roman" w:hAnsi="Times New Roman" w:cs="Times New Roman"/>
          <w:sz w:val="24"/>
          <w:szCs w:val="24"/>
        </w:rPr>
        <w:t xml:space="preserve"> framework in a number of ways. First, the Ontario’s new framework seeks inclusivity of the early learning and childcare similar to the indigenous framework</w:t>
      </w:r>
      <w:r w:rsidR="00C611BC" w:rsidRPr="00C611BC">
        <w:rPr>
          <w:rFonts w:ascii="Times New Roman" w:hAnsi="Times New Roman" w:cs="Times New Roman"/>
          <w:sz w:val="24"/>
          <w:szCs w:val="24"/>
        </w:rPr>
        <w:t xml:space="preserve"> ("Ontario’s renewed early years and child care policy framework &amp; </w:t>
      </w:r>
      <w:r w:rsidR="000D6E2F" w:rsidRPr="00C611BC">
        <w:rPr>
          <w:rFonts w:ascii="Times New Roman" w:hAnsi="Times New Roman" w:cs="Times New Roman"/>
          <w:sz w:val="24"/>
          <w:szCs w:val="24"/>
        </w:rPr>
        <w:t>five-year</w:t>
      </w:r>
      <w:r w:rsidR="00C611BC" w:rsidRPr="00C611BC">
        <w:rPr>
          <w:rFonts w:ascii="Times New Roman" w:hAnsi="Times New Roman" w:cs="Times New Roman"/>
          <w:sz w:val="24"/>
          <w:szCs w:val="24"/>
        </w:rPr>
        <w:t xml:space="preserve"> action plan," n.d.)</w:t>
      </w:r>
      <w:r w:rsidRPr="00C611BC">
        <w:rPr>
          <w:rFonts w:ascii="Times New Roman" w:hAnsi="Times New Roman" w:cs="Times New Roman"/>
          <w:sz w:val="24"/>
          <w:szCs w:val="24"/>
        </w:rPr>
        <w:t>. The new framework suggests a system where all stakeholders are included in the early years and childcare of the children by increasing the family time and increasing the before and after school hours for children</w:t>
      </w:r>
      <w:r w:rsidR="0052047E" w:rsidRPr="00C611BC">
        <w:rPr>
          <w:rFonts w:ascii="Times New Roman" w:hAnsi="Times New Roman" w:cs="Times New Roman"/>
          <w:sz w:val="24"/>
          <w:szCs w:val="24"/>
        </w:rPr>
        <w:t xml:space="preserve"> (</w:t>
      </w:r>
      <w:r w:rsidR="00215DB6" w:rsidRPr="00C611BC">
        <w:rPr>
          <w:rFonts w:ascii="Times New Roman" w:hAnsi="Times New Roman" w:cs="Times New Roman"/>
          <w:sz w:val="24"/>
          <w:szCs w:val="24"/>
        </w:rPr>
        <w:t>Rincon-Gallardo &amp; Fullan, 2016</w:t>
      </w:r>
      <w:r w:rsidR="0052047E" w:rsidRPr="00C611BC">
        <w:rPr>
          <w:rFonts w:ascii="Times New Roman" w:hAnsi="Times New Roman" w:cs="Times New Roman"/>
          <w:sz w:val="24"/>
          <w:szCs w:val="24"/>
        </w:rPr>
        <w:t>)</w:t>
      </w:r>
      <w:r w:rsidRPr="00C611BC">
        <w:rPr>
          <w:rFonts w:ascii="Times New Roman" w:hAnsi="Times New Roman" w:cs="Times New Roman"/>
          <w:sz w:val="24"/>
          <w:szCs w:val="24"/>
        </w:rPr>
        <w:t>. The indigenous system accommodates inclusivity of the stakeholders by creating a system that build to specifically address the needs of the community</w:t>
      </w:r>
      <w:r w:rsidR="009353EB" w:rsidRPr="00C611BC">
        <w:rPr>
          <w:rFonts w:ascii="Times New Roman" w:hAnsi="Times New Roman" w:cs="Times New Roman"/>
          <w:sz w:val="24"/>
          <w:szCs w:val="24"/>
        </w:rPr>
        <w:t>. The new Ontario’s framework is created to specifically address the shortage and challenges of the early years and child care systems by setting a quality standard and increasing the number of qualifies educators</w:t>
      </w:r>
      <w:r w:rsidR="004B5C28" w:rsidRPr="00C611BC">
        <w:rPr>
          <w:rFonts w:ascii="Times New Roman" w:hAnsi="Times New Roman" w:cs="Times New Roman"/>
          <w:sz w:val="24"/>
          <w:szCs w:val="24"/>
        </w:rPr>
        <w:t xml:space="preserve"> (</w:t>
      </w:r>
      <w:r w:rsidR="004B5C28" w:rsidRPr="00C611BC">
        <w:rPr>
          <w:rFonts w:ascii="Times New Roman" w:hAnsi="Times New Roman" w:cs="Times New Roman"/>
          <w:color w:val="1A1A1A"/>
          <w:sz w:val="24"/>
          <w:szCs w:val="24"/>
        </w:rPr>
        <w:t>McGregor, 2009)</w:t>
      </w:r>
      <w:r w:rsidR="009353EB" w:rsidRPr="00C611BC">
        <w:rPr>
          <w:rFonts w:ascii="Times New Roman" w:hAnsi="Times New Roman" w:cs="Times New Roman"/>
          <w:sz w:val="24"/>
          <w:szCs w:val="24"/>
        </w:rPr>
        <w:t xml:space="preserve">. This system approach by the framework is similar to </w:t>
      </w:r>
      <w:r w:rsidR="009353EB" w:rsidRPr="00C611BC">
        <w:rPr>
          <w:rFonts w:ascii="Times New Roman" w:hAnsi="Times New Roman" w:cs="Times New Roman"/>
          <w:sz w:val="24"/>
          <w:szCs w:val="24"/>
        </w:rPr>
        <w:lastRenderedPageBreak/>
        <w:t>the indigenous framework which suggests addressing the shortcomings of the early years and childcare</w:t>
      </w:r>
      <w:r w:rsidR="00215DB6" w:rsidRPr="00C611BC">
        <w:rPr>
          <w:rFonts w:ascii="Times New Roman" w:hAnsi="Times New Roman" w:cs="Times New Roman"/>
          <w:sz w:val="24"/>
          <w:szCs w:val="24"/>
        </w:rPr>
        <w:t>.</w:t>
      </w:r>
    </w:p>
    <w:p w14:paraId="474B883C" w14:textId="0D66C641" w:rsidR="00AD59CA" w:rsidRPr="00C611BC" w:rsidRDefault="0052047E"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 xml:space="preserve">The indigenous early learning and childcare </w:t>
      </w:r>
      <w:r w:rsidR="00AD59CA" w:rsidRPr="00C611BC">
        <w:rPr>
          <w:rFonts w:ascii="Times New Roman" w:hAnsi="Times New Roman" w:cs="Times New Roman"/>
          <w:sz w:val="24"/>
          <w:szCs w:val="24"/>
        </w:rPr>
        <w:t>framework lines up with the Ontario's Renewed Early Years and Child Care Policy Framework. They acknowledge that people have the right to determine, design, and implement a system that reflects on their unique needs, priorities, and aspirations</w:t>
      </w:r>
      <w:r w:rsidR="004B5C28" w:rsidRPr="00C611BC">
        <w:rPr>
          <w:rFonts w:ascii="Times New Roman" w:hAnsi="Times New Roman" w:cs="Times New Roman"/>
          <w:sz w:val="24"/>
          <w:szCs w:val="24"/>
        </w:rPr>
        <w:t xml:space="preserve"> (</w:t>
      </w:r>
      <w:r w:rsidR="004B5C28" w:rsidRPr="00C611BC">
        <w:rPr>
          <w:rFonts w:ascii="Times New Roman" w:hAnsi="Times New Roman" w:cs="Times New Roman"/>
          <w:color w:val="1A1A1A"/>
          <w:sz w:val="24"/>
          <w:szCs w:val="24"/>
        </w:rPr>
        <w:t>Cherubini et al., 2010)</w:t>
      </w:r>
      <w:r w:rsidR="00AD59CA" w:rsidRPr="00C611BC">
        <w:rPr>
          <w:rFonts w:ascii="Times New Roman" w:hAnsi="Times New Roman" w:cs="Times New Roman"/>
          <w:sz w:val="24"/>
          <w:szCs w:val="24"/>
        </w:rPr>
        <w:t>. In this case, the two frameworks agree that childcare is of primary concern in society, and the people have the right to determine the most efficient system to follow</w:t>
      </w:r>
      <w:r w:rsidR="00215DB6" w:rsidRPr="00C611BC">
        <w:rPr>
          <w:rFonts w:ascii="Times New Roman" w:hAnsi="Times New Roman" w:cs="Times New Roman"/>
          <w:sz w:val="24"/>
          <w:szCs w:val="24"/>
        </w:rPr>
        <w:t xml:space="preserve"> (</w:t>
      </w:r>
      <w:proofErr w:type="spellStart"/>
      <w:r w:rsidR="00215DB6" w:rsidRPr="00C611BC">
        <w:rPr>
          <w:rFonts w:ascii="Times New Roman" w:hAnsi="Times New Roman" w:cs="Times New Roman"/>
          <w:sz w:val="24"/>
          <w:szCs w:val="24"/>
        </w:rPr>
        <w:t>Taouil</w:t>
      </w:r>
      <w:proofErr w:type="spellEnd"/>
      <w:r w:rsidR="00215DB6" w:rsidRPr="00C611BC">
        <w:rPr>
          <w:rFonts w:ascii="Times New Roman" w:hAnsi="Times New Roman" w:cs="Times New Roman"/>
          <w:sz w:val="24"/>
          <w:szCs w:val="24"/>
        </w:rPr>
        <w:t>, 2019)</w:t>
      </w:r>
      <w:r w:rsidR="00AD59CA" w:rsidRPr="00C611BC">
        <w:rPr>
          <w:rFonts w:ascii="Times New Roman" w:hAnsi="Times New Roman" w:cs="Times New Roman"/>
          <w:sz w:val="24"/>
          <w:szCs w:val="24"/>
        </w:rPr>
        <w:t>.</w:t>
      </w:r>
      <w:r w:rsidRPr="00C611BC">
        <w:rPr>
          <w:rFonts w:ascii="Times New Roman" w:hAnsi="Times New Roman" w:cs="Times New Roman"/>
          <w:sz w:val="24"/>
          <w:szCs w:val="24"/>
        </w:rPr>
        <w:t xml:space="preserve"> The two frameworks suggest the adoption of a system that maximizes the early years of childcare. The learning program for children is one with the most benefit to the young minds of children by moulding their thoughts </w:t>
      </w:r>
      <w:r w:rsidR="00C135AE" w:rsidRPr="00C611BC">
        <w:rPr>
          <w:rFonts w:ascii="Times New Roman" w:hAnsi="Times New Roman" w:cs="Times New Roman"/>
          <w:sz w:val="24"/>
          <w:szCs w:val="24"/>
        </w:rPr>
        <w:t>in a way that best prepares them for future roles such as formal learning.</w:t>
      </w:r>
    </w:p>
    <w:p w14:paraId="37B63B5E" w14:textId="701638E1"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The two frameworks propose the introduction of quality programs and services. The indigenous framework proposes a system based on the culture of the people and delivered through an approach that promotes the wellness of the families and children</w:t>
      </w:r>
      <w:r w:rsidR="00A2521A" w:rsidRPr="00C611BC">
        <w:rPr>
          <w:rFonts w:ascii="Times New Roman" w:hAnsi="Times New Roman" w:cs="Times New Roman"/>
          <w:sz w:val="24"/>
          <w:szCs w:val="24"/>
        </w:rPr>
        <w:t xml:space="preserve"> (Employment and Social Development Canada, 2018)</w:t>
      </w:r>
      <w:r w:rsidRPr="00C611BC">
        <w:rPr>
          <w:rFonts w:ascii="Times New Roman" w:hAnsi="Times New Roman" w:cs="Times New Roman"/>
          <w:sz w:val="24"/>
          <w:szCs w:val="24"/>
        </w:rPr>
        <w:t>. The mode of delivery is the use of safe, nurturing, and well-resourced environments and programs</w:t>
      </w:r>
      <w:r w:rsidR="00E35AC3" w:rsidRPr="00C611BC">
        <w:rPr>
          <w:rFonts w:ascii="Times New Roman" w:hAnsi="Times New Roman" w:cs="Times New Roman"/>
          <w:sz w:val="24"/>
          <w:szCs w:val="24"/>
        </w:rPr>
        <w:t xml:space="preserve"> (Abawi, 2019)</w:t>
      </w:r>
      <w:r w:rsidRPr="00C611BC">
        <w:rPr>
          <w:rFonts w:ascii="Times New Roman" w:hAnsi="Times New Roman" w:cs="Times New Roman"/>
          <w:sz w:val="24"/>
          <w:szCs w:val="24"/>
        </w:rPr>
        <w:t>. The new Ontario's program supports introducing new resources such as qualified educators, the extension of childcare time, inclusiveness, accountability, child and family centred, and flexible.</w:t>
      </w:r>
    </w:p>
    <w:p w14:paraId="65104942" w14:textId="77777777"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Question 2</w:t>
      </w:r>
    </w:p>
    <w:p w14:paraId="3CD74716" w14:textId="530219F2"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Ontario's framework was arrived at by going to the field and acquiring real data about the state of childcare and the possible solutions that might be implemented to rectify these challenges. Some of the framework's challenges include the limited resources in terms of qualified and skilled childcare educators and the lack of a set standard about the quality of service</w:t>
      </w:r>
      <w:r w:rsidR="00E35AC3" w:rsidRPr="00C611BC">
        <w:rPr>
          <w:rFonts w:ascii="Times New Roman" w:hAnsi="Times New Roman" w:cs="Times New Roman"/>
          <w:sz w:val="24"/>
          <w:szCs w:val="24"/>
        </w:rPr>
        <w:t xml:space="preserve"> (Greenberg, 2016)</w:t>
      </w:r>
      <w:r w:rsidRPr="00C611BC">
        <w:rPr>
          <w:rFonts w:ascii="Times New Roman" w:hAnsi="Times New Roman" w:cs="Times New Roman"/>
          <w:sz w:val="24"/>
          <w:szCs w:val="24"/>
        </w:rPr>
        <w:t xml:space="preserve">. What Ontario's framework did is expose the weakness of the existing system. In this case, we can consider the new Ontario's framework as an upgrade to </w:t>
      </w:r>
      <w:r w:rsidRPr="00C611BC">
        <w:rPr>
          <w:rFonts w:ascii="Times New Roman" w:hAnsi="Times New Roman" w:cs="Times New Roman"/>
          <w:sz w:val="24"/>
          <w:szCs w:val="24"/>
        </w:rPr>
        <w:lastRenderedPageBreak/>
        <w:t>the indigenous framework</w:t>
      </w:r>
      <w:r w:rsidR="000D6E2F">
        <w:rPr>
          <w:rFonts w:ascii="Times New Roman" w:hAnsi="Times New Roman" w:cs="Times New Roman"/>
          <w:sz w:val="24"/>
          <w:szCs w:val="24"/>
        </w:rPr>
        <w:t xml:space="preserve"> </w:t>
      </w:r>
      <w:r w:rsidR="000D6E2F" w:rsidRPr="00C611BC">
        <w:rPr>
          <w:rFonts w:ascii="Times New Roman" w:hAnsi="Times New Roman" w:cs="Times New Roman"/>
          <w:sz w:val="24"/>
          <w:szCs w:val="24"/>
        </w:rPr>
        <w:t>(Employment and Social Development Canada, 2018)</w:t>
      </w:r>
      <w:r w:rsidRPr="00C611BC">
        <w:rPr>
          <w:rFonts w:ascii="Times New Roman" w:hAnsi="Times New Roman" w:cs="Times New Roman"/>
          <w:sz w:val="24"/>
          <w:szCs w:val="24"/>
        </w:rPr>
        <w:t>. When implementing an upgrade, there is no need for the upgrade to be changed to suit the upgraded framework. While the indigenous program is highly restricted to the culture, the new framework is free. It allows for adopting a framework that works for children and their families without being restricted to the culture.</w:t>
      </w:r>
    </w:p>
    <w:p w14:paraId="29CEF63A" w14:textId="7C924617"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The new system identifies globalization, and thus it takes a more accommodating approach than restricting and isolating itself. The difference can be noted in both frameworks' visions where one is open while the other is culturally restricted. The new Ontario framework has a laid-out strategy for improving itself, thereby giving room for long-term sustainability. For instance, the quality standard for early childcare can always be adjusted, and the qualification standards for educators can be adjusted accordingly</w:t>
      </w:r>
      <w:r w:rsidR="000D6E2F">
        <w:rPr>
          <w:rFonts w:ascii="Times New Roman" w:hAnsi="Times New Roman" w:cs="Times New Roman"/>
          <w:sz w:val="24"/>
          <w:szCs w:val="24"/>
        </w:rPr>
        <w:t xml:space="preserve"> </w:t>
      </w:r>
      <w:r w:rsidR="000D6E2F" w:rsidRPr="00C611BC">
        <w:rPr>
          <w:rFonts w:ascii="Times New Roman" w:hAnsi="Times New Roman" w:cs="Times New Roman"/>
          <w:sz w:val="24"/>
          <w:szCs w:val="24"/>
        </w:rPr>
        <w:t>(</w:t>
      </w:r>
      <w:r w:rsidR="000D6E2F" w:rsidRPr="00C611BC">
        <w:rPr>
          <w:rFonts w:ascii="Times New Roman" w:hAnsi="Times New Roman" w:cs="Times New Roman"/>
          <w:color w:val="1A1A1A"/>
          <w:sz w:val="24"/>
          <w:szCs w:val="24"/>
        </w:rPr>
        <w:t>Ontario Ministry of Education. 2014c</w:t>
      </w:r>
      <w:r w:rsidR="000D6E2F" w:rsidRPr="00C611BC">
        <w:rPr>
          <w:rFonts w:ascii="Times New Roman" w:hAnsi="Times New Roman" w:cs="Times New Roman"/>
          <w:sz w:val="24"/>
          <w:szCs w:val="24"/>
        </w:rPr>
        <w:t>)</w:t>
      </w:r>
      <w:r w:rsidRPr="00C611BC">
        <w:rPr>
          <w:rFonts w:ascii="Times New Roman" w:hAnsi="Times New Roman" w:cs="Times New Roman"/>
          <w:sz w:val="24"/>
          <w:szCs w:val="24"/>
        </w:rPr>
        <w:t>. Therefore, I find no viable reason for making changes to Ontario's framework to support the indigenous framework. This is because the new framework is designed to take over from the old one.</w:t>
      </w:r>
    </w:p>
    <w:p w14:paraId="03C8E3BE" w14:textId="77777777"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Question 3</w:t>
      </w:r>
    </w:p>
    <w:p w14:paraId="4CD5AD3D" w14:textId="7CA2BF50"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In every country, there are indigenous communities or different cultures. The type of learning systems adopted in each country is determined following the given criteria. For instance, early childcare might be designed to line up with the country's official education system. In the United States of America, the early childcare system is designed to prepare the child for the transition into formal schooling</w:t>
      </w:r>
      <w:r w:rsidR="00E35AC3" w:rsidRPr="00C611BC">
        <w:rPr>
          <w:rFonts w:ascii="Times New Roman" w:hAnsi="Times New Roman" w:cs="Times New Roman"/>
          <w:sz w:val="24"/>
          <w:szCs w:val="24"/>
        </w:rPr>
        <w:t xml:space="preserve"> (Youmans, 2016)</w:t>
      </w:r>
      <w:r w:rsidRPr="00C611BC">
        <w:rPr>
          <w:rFonts w:ascii="Times New Roman" w:hAnsi="Times New Roman" w:cs="Times New Roman"/>
          <w:sz w:val="24"/>
          <w:szCs w:val="24"/>
        </w:rPr>
        <w:t xml:space="preserve">. The country has many cultures, and the result is that they had to adopt a general system that did not favour a specific culture. If the system was designed to account for the indigenous need of the people, then there would be multiple systems adopted in the different states all over the country. Learning in a country is an important process which directly affects and impacts the future of a country. However, the learning process adopted starting from the early childcare systems is </w:t>
      </w:r>
      <w:r w:rsidRPr="00C611BC">
        <w:rPr>
          <w:rFonts w:ascii="Times New Roman" w:hAnsi="Times New Roman" w:cs="Times New Roman"/>
          <w:sz w:val="24"/>
          <w:szCs w:val="24"/>
        </w:rPr>
        <w:lastRenderedPageBreak/>
        <w:t>designed to guarantee children and parents the best</w:t>
      </w:r>
      <w:r w:rsidR="00E35AC3" w:rsidRPr="00C611BC">
        <w:rPr>
          <w:rFonts w:ascii="Times New Roman" w:hAnsi="Times New Roman" w:cs="Times New Roman"/>
          <w:sz w:val="24"/>
          <w:szCs w:val="24"/>
        </w:rPr>
        <w:t xml:space="preserve"> (Youmans, 2016)</w:t>
      </w:r>
      <w:r w:rsidRPr="00C611BC">
        <w:rPr>
          <w:rFonts w:ascii="Times New Roman" w:hAnsi="Times New Roman" w:cs="Times New Roman"/>
          <w:sz w:val="24"/>
          <w:szCs w:val="24"/>
        </w:rPr>
        <w:t>. Essentially, different countries do not follow a universal early childcare program. Rather, the adopted frameworks are specifically designed to fit the people's needs; when this is not the case, the framework is often revised. For example, the Childcare system in Britain is specifically tailored to fit the British people's needs, culture, and priorities.</w:t>
      </w:r>
    </w:p>
    <w:p w14:paraId="3C63E65C" w14:textId="77777777"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Question 4</w:t>
      </w:r>
    </w:p>
    <w:p w14:paraId="5F893229" w14:textId="484C4F69"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Different countries around the world are not adopting early learning frameworks that consider the need of the indigenous communities. Perhaps, one of the needs of such communities would be the continuation of their culture. This would create a learning dilemma for the government, whether to create a general framework or one based on cultural identities. Also, there is increased globalization, and many countries want their next generations to be as productive as possible. Thus, sticking to the community needs might interfere with this goal</w:t>
      </w:r>
      <w:r w:rsidR="00E35AC3" w:rsidRPr="00C611BC">
        <w:rPr>
          <w:rFonts w:ascii="Times New Roman" w:hAnsi="Times New Roman" w:cs="Times New Roman"/>
          <w:sz w:val="24"/>
          <w:szCs w:val="24"/>
        </w:rPr>
        <w:t xml:space="preserve"> (Lohmann, Hovey &amp; Gauvreau, 2018)</w:t>
      </w:r>
      <w:r w:rsidRPr="00C611BC">
        <w:rPr>
          <w:rFonts w:ascii="Times New Roman" w:hAnsi="Times New Roman" w:cs="Times New Roman"/>
          <w:sz w:val="24"/>
          <w:szCs w:val="24"/>
        </w:rPr>
        <w:t>. For instance, if the country aims to increase literacy levels, it will adopt a framework that effectively introduces the children into formal education. The world has also evolved through technology, and this change has caught up with the young generation. Thus, the need to adopt a framework that shapes the children from an early age to embrace technology and innovate new ideas.</w:t>
      </w:r>
    </w:p>
    <w:p w14:paraId="2D562776" w14:textId="77777777"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Question 5</w:t>
      </w:r>
    </w:p>
    <w:p w14:paraId="14ED0A22" w14:textId="2D0812F1" w:rsidR="00AD59CA" w:rsidRPr="00C611BC" w:rsidRDefault="00AD59CA" w:rsidP="00783BD7">
      <w:pPr>
        <w:spacing w:after="0" w:line="480" w:lineRule="auto"/>
        <w:ind w:firstLine="720"/>
        <w:contextualSpacing/>
        <w:rPr>
          <w:rFonts w:ascii="Times New Roman" w:hAnsi="Times New Roman" w:cs="Times New Roman"/>
          <w:sz w:val="24"/>
          <w:szCs w:val="24"/>
        </w:rPr>
      </w:pPr>
      <w:r w:rsidRPr="00C611BC">
        <w:rPr>
          <w:rFonts w:ascii="Times New Roman" w:hAnsi="Times New Roman" w:cs="Times New Roman"/>
          <w:sz w:val="24"/>
          <w:szCs w:val="24"/>
        </w:rPr>
        <w:t>The United Nations, through the United Nations Children's Fund (UNICEF), advocated for early childhood development programs in different countries. These programs are meant to benefit children's current and future generations through a healthy, nutritious, caregiving, secure, and safe learning environment</w:t>
      </w:r>
      <w:r w:rsidR="00E35AC3" w:rsidRPr="00C611BC">
        <w:rPr>
          <w:rFonts w:ascii="Times New Roman" w:hAnsi="Times New Roman" w:cs="Times New Roman"/>
          <w:sz w:val="24"/>
          <w:szCs w:val="24"/>
        </w:rPr>
        <w:t xml:space="preserve"> (Lohmann, Hovey &amp; Gauvreau, 2018)</w:t>
      </w:r>
      <w:r w:rsidRPr="00C611BC">
        <w:rPr>
          <w:rFonts w:ascii="Times New Roman" w:hAnsi="Times New Roman" w:cs="Times New Roman"/>
          <w:sz w:val="24"/>
          <w:szCs w:val="24"/>
        </w:rPr>
        <w:t xml:space="preserve">. The indigenous populations have the right to access early learning opportunities for their children because all children are regarded as equal. They are expected to have access to childhood development programs. Through the United Nations Educational, Scientific, and Cultural </w:t>
      </w:r>
      <w:r w:rsidRPr="00C611BC">
        <w:rPr>
          <w:rFonts w:ascii="Times New Roman" w:hAnsi="Times New Roman" w:cs="Times New Roman"/>
          <w:sz w:val="24"/>
          <w:szCs w:val="24"/>
        </w:rPr>
        <w:lastRenderedPageBreak/>
        <w:t>Organization, the UN has advocated for developing early learning programs that protect the different cultural heritages in different countries. Through such programs, the children are introduced to a learning system that is based on community needs.</w:t>
      </w:r>
    </w:p>
    <w:p w14:paraId="1DC53045" w14:textId="77777777" w:rsidR="00783BD7" w:rsidRDefault="00783BD7">
      <w:pPr>
        <w:rPr>
          <w:rFonts w:ascii="Times New Roman" w:hAnsi="Times New Roman" w:cs="Times New Roman"/>
          <w:sz w:val="24"/>
          <w:szCs w:val="24"/>
        </w:rPr>
      </w:pPr>
      <w:r>
        <w:rPr>
          <w:rFonts w:ascii="Times New Roman" w:hAnsi="Times New Roman" w:cs="Times New Roman"/>
          <w:sz w:val="24"/>
          <w:szCs w:val="24"/>
        </w:rPr>
        <w:br w:type="page"/>
      </w:r>
    </w:p>
    <w:p w14:paraId="1B0816A2" w14:textId="2E4164CF" w:rsidR="007F5B91" w:rsidRPr="00C611BC" w:rsidRDefault="00AD59CA" w:rsidP="00783BD7">
      <w:pPr>
        <w:spacing w:after="0" w:line="480" w:lineRule="auto"/>
        <w:ind w:firstLine="720"/>
        <w:contextualSpacing/>
        <w:jc w:val="center"/>
        <w:rPr>
          <w:rFonts w:ascii="Times New Roman" w:hAnsi="Times New Roman" w:cs="Times New Roman"/>
          <w:sz w:val="24"/>
          <w:szCs w:val="24"/>
        </w:rPr>
      </w:pPr>
      <w:r w:rsidRPr="00C611BC">
        <w:rPr>
          <w:rFonts w:ascii="Times New Roman" w:hAnsi="Times New Roman" w:cs="Times New Roman"/>
          <w:sz w:val="24"/>
          <w:szCs w:val="24"/>
        </w:rPr>
        <w:lastRenderedPageBreak/>
        <w:t xml:space="preserve">Reference </w:t>
      </w:r>
    </w:p>
    <w:p w14:paraId="3DE988AC" w14:textId="432CFB5C" w:rsidR="00A2521A" w:rsidRPr="00C611BC" w:rsidRDefault="004B5C28" w:rsidP="00783BD7">
      <w:pPr>
        <w:spacing w:after="0" w:line="480" w:lineRule="auto"/>
        <w:ind w:left="720" w:hanging="720"/>
        <w:contextualSpacing/>
        <w:rPr>
          <w:rFonts w:ascii="Times New Roman" w:hAnsi="Times New Roman" w:cs="Times New Roman"/>
          <w:sz w:val="24"/>
          <w:szCs w:val="24"/>
        </w:rPr>
      </w:pPr>
      <w:r w:rsidRPr="00C611BC">
        <w:rPr>
          <w:rFonts w:ascii="Times New Roman" w:hAnsi="Times New Roman" w:cs="Times New Roman"/>
          <w:sz w:val="24"/>
          <w:szCs w:val="24"/>
        </w:rPr>
        <w:t>Abawi, Z. E. (2019). Politicizing Early Childhood Education and Care in Ontario: Race, Identity and Belonging. </w:t>
      </w:r>
      <w:r w:rsidRPr="00C611BC">
        <w:rPr>
          <w:rFonts w:ascii="Times New Roman" w:hAnsi="Times New Roman" w:cs="Times New Roman"/>
          <w:i/>
          <w:iCs/>
          <w:sz w:val="24"/>
          <w:szCs w:val="24"/>
        </w:rPr>
        <w:t>Journal of Curriculum, Teaching, Learning and Leadership in Education</w:t>
      </w:r>
      <w:r w:rsidRPr="00C611BC">
        <w:rPr>
          <w:rFonts w:ascii="Times New Roman" w:hAnsi="Times New Roman" w:cs="Times New Roman"/>
          <w:sz w:val="24"/>
          <w:szCs w:val="24"/>
        </w:rPr>
        <w:t>, </w:t>
      </w:r>
      <w:r w:rsidRPr="00C611BC">
        <w:rPr>
          <w:rFonts w:ascii="Times New Roman" w:hAnsi="Times New Roman" w:cs="Times New Roman"/>
          <w:i/>
          <w:iCs/>
          <w:sz w:val="24"/>
          <w:szCs w:val="24"/>
        </w:rPr>
        <w:t>4</w:t>
      </w:r>
      <w:r w:rsidRPr="00C611BC">
        <w:rPr>
          <w:rFonts w:ascii="Times New Roman" w:hAnsi="Times New Roman" w:cs="Times New Roman"/>
          <w:sz w:val="24"/>
          <w:szCs w:val="24"/>
        </w:rPr>
        <w:t>(2), 4.</w:t>
      </w:r>
    </w:p>
    <w:p w14:paraId="21945164" w14:textId="61FEA0DE" w:rsidR="004B5C28" w:rsidRPr="00C611BC" w:rsidRDefault="004B5C28" w:rsidP="00783BD7">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C611BC">
        <w:rPr>
          <w:rFonts w:ascii="Times New Roman" w:hAnsi="Times New Roman" w:cs="Times New Roman"/>
          <w:color w:val="1A1A1A"/>
          <w:sz w:val="24"/>
          <w:szCs w:val="24"/>
        </w:rPr>
        <w:t>Cherubini, L., Hodson, J., Manley-Casimir, M., &amp; Muir, C. (2010). " Closing the Gap" at the Peril of Widening the Void: Implications of the Ontario Ministry of Education's Policy for Aboriginal Education. </w:t>
      </w:r>
      <w:r w:rsidRPr="00C611BC">
        <w:rPr>
          <w:rFonts w:ascii="Times New Roman" w:hAnsi="Times New Roman" w:cs="Times New Roman"/>
          <w:i/>
          <w:iCs/>
          <w:color w:val="1A1A1A"/>
          <w:sz w:val="24"/>
          <w:szCs w:val="24"/>
        </w:rPr>
        <w:t>Canadian Journal of Education</w:t>
      </w:r>
      <w:r w:rsidRPr="00C611BC">
        <w:rPr>
          <w:rFonts w:ascii="Times New Roman" w:hAnsi="Times New Roman" w:cs="Times New Roman"/>
          <w:color w:val="1A1A1A"/>
          <w:sz w:val="24"/>
          <w:szCs w:val="24"/>
        </w:rPr>
        <w:t>, </w:t>
      </w:r>
      <w:r w:rsidRPr="00C611BC">
        <w:rPr>
          <w:rFonts w:ascii="Times New Roman" w:hAnsi="Times New Roman" w:cs="Times New Roman"/>
          <w:i/>
          <w:iCs/>
          <w:color w:val="1A1A1A"/>
          <w:sz w:val="24"/>
          <w:szCs w:val="24"/>
        </w:rPr>
        <w:t>33</w:t>
      </w:r>
      <w:r w:rsidRPr="00C611BC">
        <w:rPr>
          <w:rFonts w:ascii="Times New Roman" w:hAnsi="Times New Roman" w:cs="Times New Roman"/>
          <w:color w:val="1A1A1A"/>
          <w:sz w:val="24"/>
          <w:szCs w:val="24"/>
        </w:rPr>
        <w:t>(2), 329-355.</w:t>
      </w:r>
    </w:p>
    <w:p w14:paraId="7399F7BE" w14:textId="77777777" w:rsidR="00A2521A" w:rsidRPr="00C611BC" w:rsidRDefault="00A2521A" w:rsidP="00783BD7">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C611BC">
        <w:rPr>
          <w:rFonts w:ascii="Times New Roman" w:hAnsi="Times New Roman" w:cs="Times New Roman"/>
          <w:color w:val="1A1A1A"/>
          <w:sz w:val="24"/>
          <w:szCs w:val="24"/>
        </w:rPr>
        <w:t>Employment and Social Development Canada. (2018, September 17). </w:t>
      </w:r>
      <w:r w:rsidRPr="00C611BC">
        <w:rPr>
          <w:rFonts w:ascii="Times New Roman" w:hAnsi="Times New Roman" w:cs="Times New Roman"/>
          <w:i/>
          <w:iCs/>
          <w:color w:val="1A1A1A"/>
          <w:sz w:val="24"/>
          <w:szCs w:val="24"/>
        </w:rPr>
        <w:t>Indigenous early learning and child care framework</w:t>
      </w:r>
      <w:r w:rsidRPr="00C611BC">
        <w:rPr>
          <w:rFonts w:ascii="Times New Roman" w:hAnsi="Times New Roman" w:cs="Times New Roman"/>
          <w:color w:val="1A1A1A"/>
          <w:sz w:val="24"/>
          <w:szCs w:val="24"/>
        </w:rPr>
        <w:t>. Canada.ca. </w:t>
      </w:r>
      <w:hyperlink r:id="rId7" w:history="1">
        <w:r w:rsidRPr="00C611BC">
          <w:rPr>
            <w:rStyle w:val="Hyperlink"/>
            <w:rFonts w:ascii="Times New Roman" w:hAnsi="Times New Roman" w:cs="Times New Roman"/>
            <w:sz w:val="24"/>
            <w:szCs w:val="24"/>
          </w:rPr>
          <w:t>https://www.canada.ca/en/employment-social-development/programs/indigenous-early-learning/2018-framework.html</w:t>
        </w:r>
      </w:hyperlink>
    </w:p>
    <w:p w14:paraId="751C96C7" w14:textId="3698E1AE" w:rsidR="00AD59CA" w:rsidRPr="00C611BC" w:rsidRDefault="00AD59CA" w:rsidP="00783BD7">
      <w:pPr>
        <w:spacing w:after="0" w:line="480" w:lineRule="auto"/>
        <w:ind w:left="720" w:hanging="720"/>
        <w:contextualSpacing/>
        <w:rPr>
          <w:rFonts w:ascii="Times New Roman" w:hAnsi="Times New Roman" w:cs="Times New Roman"/>
          <w:sz w:val="24"/>
          <w:szCs w:val="24"/>
        </w:rPr>
      </w:pPr>
      <w:r w:rsidRPr="00C611BC">
        <w:rPr>
          <w:rFonts w:ascii="Times New Roman" w:hAnsi="Times New Roman" w:cs="Times New Roman"/>
          <w:sz w:val="24"/>
          <w:szCs w:val="24"/>
        </w:rPr>
        <w:t>Greenberg, J. (2016). Teaching children to think: Meeting the demands of the 21st century.</w:t>
      </w:r>
    </w:p>
    <w:p w14:paraId="66884756" w14:textId="77777777" w:rsidR="004B5C28" w:rsidRPr="00C611BC" w:rsidRDefault="004B5C28" w:rsidP="00783BD7">
      <w:pPr>
        <w:spacing w:after="0" w:line="480" w:lineRule="auto"/>
        <w:ind w:left="720" w:hanging="720"/>
        <w:contextualSpacing/>
        <w:rPr>
          <w:rFonts w:ascii="Times New Roman" w:hAnsi="Times New Roman" w:cs="Times New Roman"/>
          <w:sz w:val="24"/>
          <w:szCs w:val="24"/>
        </w:rPr>
      </w:pPr>
      <w:r w:rsidRPr="00C611BC">
        <w:rPr>
          <w:rFonts w:ascii="Times New Roman" w:hAnsi="Times New Roman" w:cs="Times New Roman"/>
          <w:sz w:val="24"/>
          <w:szCs w:val="24"/>
        </w:rPr>
        <w:t>Lohmann, M. J., Hovey, K. A., &amp; Gauvreau, A. N. (2018). Using a Universal Design for Learning Framework to Enhance Engagement in the Early Childhood Classroom. </w:t>
      </w:r>
      <w:r w:rsidRPr="00C611BC">
        <w:rPr>
          <w:rFonts w:ascii="Times New Roman" w:hAnsi="Times New Roman" w:cs="Times New Roman"/>
          <w:i/>
          <w:iCs/>
          <w:sz w:val="24"/>
          <w:szCs w:val="24"/>
        </w:rPr>
        <w:t>Journal of Special Education Apprenticeship</w:t>
      </w:r>
      <w:r w:rsidRPr="00C611BC">
        <w:rPr>
          <w:rFonts w:ascii="Times New Roman" w:hAnsi="Times New Roman" w:cs="Times New Roman"/>
          <w:sz w:val="24"/>
          <w:szCs w:val="24"/>
        </w:rPr>
        <w:t>, </w:t>
      </w:r>
      <w:r w:rsidRPr="00C611BC">
        <w:rPr>
          <w:rFonts w:ascii="Times New Roman" w:hAnsi="Times New Roman" w:cs="Times New Roman"/>
          <w:i/>
          <w:iCs/>
          <w:sz w:val="24"/>
          <w:szCs w:val="24"/>
        </w:rPr>
        <w:t>7</w:t>
      </w:r>
      <w:r w:rsidRPr="00C611BC">
        <w:rPr>
          <w:rFonts w:ascii="Times New Roman" w:hAnsi="Times New Roman" w:cs="Times New Roman"/>
          <w:sz w:val="24"/>
          <w:szCs w:val="24"/>
        </w:rPr>
        <w:t>(2), n2.</w:t>
      </w:r>
    </w:p>
    <w:p w14:paraId="0F75CFA1" w14:textId="77777777" w:rsidR="003044D6" w:rsidRPr="00C611BC" w:rsidRDefault="003044D6" w:rsidP="00783BD7">
      <w:pPr>
        <w:spacing w:after="0" w:line="480" w:lineRule="auto"/>
        <w:ind w:left="720" w:hanging="720"/>
        <w:contextualSpacing/>
        <w:rPr>
          <w:rFonts w:ascii="Times New Roman" w:hAnsi="Times New Roman" w:cs="Times New Roman"/>
          <w:color w:val="1A1A1A"/>
          <w:sz w:val="24"/>
          <w:szCs w:val="24"/>
        </w:rPr>
      </w:pPr>
      <w:r w:rsidRPr="00C611BC">
        <w:rPr>
          <w:rFonts w:ascii="Times New Roman" w:hAnsi="Times New Roman" w:cs="Times New Roman"/>
          <w:color w:val="1A1A1A"/>
          <w:sz w:val="24"/>
          <w:szCs w:val="24"/>
        </w:rPr>
        <w:t>McGregor, D. (2009). Linking traditional knowledge and environmental practice in Ontario. </w:t>
      </w:r>
      <w:r w:rsidRPr="00C611BC">
        <w:rPr>
          <w:rFonts w:ascii="Times New Roman" w:hAnsi="Times New Roman" w:cs="Times New Roman"/>
          <w:i/>
          <w:iCs/>
          <w:color w:val="1A1A1A"/>
          <w:sz w:val="24"/>
          <w:szCs w:val="24"/>
        </w:rPr>
        <w:t>Journal of Canadian Studies</w:t>
      </w:r>
      <w:r w:rsidRPr="00C611BC">
        <w:rPr>
          <w:rFonts w:ascii="Times New Roman" w:hAnsi="Times New Roman" w:cs="Times New Roman"/>
          <w:color w:val="1A1A1A"/>
          <w:sz w:val="24"/>
          <w:szCs w:val="24"/>
        </w:rPr>
        <w:t>, </w:t>
      </w:r>
      <w:r w:rsidRPr="00C611BC">
        <w:rPr>
          <w:rFonts w:ascii="Times New Roman" w:hAnsi="Times New Roman" w:cs="Times New Roman"/>
          <w:i/>
          <w:iCs/>
          <w:color w:val="1A1A1A"/>
          <w:sz w:val="24"/>
          <w:szCs w:val="24"/>
        </w:rPr>
        <w:t>43</w:t>
      </w:r>
      <w:r w:rsidRPr="00C611BC">
        <w:rPr>
          <w:rFonts w:ascii="Times New Roman" w:hAnsi="Times New Roman" w:cs="Times New Roman"/>
          <w:color w:val="1A1A1A"/>
          <w:sz w:val="24"/>
          <w:szCs w:val="24"/>
        </w:rPr>
        <w:t>(3), 69-100.</w:t>
      </w:r>
    </w:p>
    <w:p w14:paraId="08D03961" w14:textId="77777777" w:rsidR="003044D6" w:rsidRPr="00C611BC" w:rsidRDefault="003044D6" w:rsidP="00783BD7">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C611BC">
        <w:rPr>
          <w:rFonts w:ascii="Times New Roman" w:hAnsi="Times New Roman" w:cs="Times New Roman"/>
          <w:color w:val="1A1A1A"/>
          <w:sz w:val="24"/>
          <w:szCs w:val="24"/>
        </w:rPr>
        <w:t>Ontario Ministry of Education. (2016). </w:t>
      </w:r>
      <w:hyperlink r:id="rId8" w:history="1">
        <w:r w:rsidRPr="00C611BC">
          <w:rPr>
            <w:rStyle w:val="Hyperlink"/>
            <w:rFonts w:ascii="Times New Roman" w:hAnsi="Times New Roman" w:cs="Times New Roman"/>
            <w:i/>
            <w:iCs/>
            <w:color w:val="551A8B"/>
            <w:sz w:val="24"/>
            <w:szCs w:val="24"/>
          </w:rPr>
          <w:t>Growing success – The Kindergarten addendum: Assessment, evaluation, and reporting in Ontario Schools</w:t>
        </w:r>
      </w:hyperlink>
      <w:r w:rsidRPr="00C611BC">
        <w:rPr>
          <w:rFonts w:ascii="Times New Roman" w:hAnsi="Times New Roman" w:cs="Times New Roman"/>
          <w:color w:val="1A1A1A"/>
          <w:sz w:val="24"/>
          <w:szCs w:val="24"/>
        </w:rPr>
        <w:t>.</w:t>
      </w:r>
    </w:p>
    <w:p w14:paraId="07C6FED0" w14:textId="77777777" w:rsidR="003044D6" w:rsidRPr="00C611BC" w:rsidRDefault="003044D6" w:rsidP="00783BD7">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C611BC">
        <w:rPr>
          <w:rFonts w:ascii="Times New Roman" w:hAnsi="Times New Roman" w:cs="Times New Roman"/>
          <w:color w:val="1A1A1A"/>
          <w:sz w:val="24"/>
          <w:szCs w:val="24"/>
        </w:rPr>
        <w:t>Ontario Ministry of Education. (2014c). </w:t>
      </w:r>
      <w:r w:rsidRPr="00C611BC">
        <w:rPr>
          <w:rFonts w:ascii="Times New Roman" w:hAnsi="Times New Roman" w:cs="Times New Roman"/>
          <w:i/>
          <w:iCs/>
          <w:color w:val="1A1A1A"/>
          <w:sz w:val="24"/>
          <w:szCs w:val="24"/>
        </w:rPr>
        <w:t>How does learning happen? Ontario's pedagogy for the early years: A resource about learning through relationships for those who work with young children and their families</w:t>
      </w:r>
      <w:r w:rsidRPr="00C611BC">
        <w:rPr>
          <w:rFonts w:ascii="Times New Roman" w:hAnsi="Times New Roman" w:cs="Times New Roman"/>
          <w:color w:val="1A1A1A"/>
          <w:sz w:val="24"/>
          <w:szCs w:val="24"/>
        </w:rPr>
        <w:t>. Toronto: Author.</w:t>
      </w:r>
    </w:p>
    <w:p w14:paraId="138A624F" w14:textId="0C06EDE9" w:rsidR="00C611BC" w:rsidRPr="00C611BC" w:rsidRDefault="00C611BC" w:rsidP="00783BD7">
      <w:pPr>
        <w:shd w:val="clear" w:color="auto" w:fill="FFFFFF"/>
        <w:spacing w:before="100" w:beforeAutospacing="1" w:after="0" w:line="480" w:lineRule="auto"/>
        <w:ind w:left="720" w:hanging="720"/>
        <w:rPr>
          <w:rFonts w:ascii="Times New Roman" w:hAnsi="Times New Roman" w:cs="Times New Roman"/>
          <w:sz w:val="24"/>
          <w:szCs w:val="24"/>
        </w:rPr>
      </w:pPr>
      <w:r w:rsidRPr="00C611BC">
        <w:rPr>
          <w:rFonts w:ascii="Times New Roman" w:hAnsi="Times New Roman" w:cs="Times New Roman"/>
          <w:i/>
          <w:iCs/>
          <w:sz w:val="24"/>
          <w:szCs w:val="24"/>
        </w:rPr>
        <w:lastRenderedPageBreak/>
        <w:t>Ontario’s renewed early years and child care policy framework &amp; five-year action plan</w:t>
      </w:r>
      <w:r w:rsidRPr="00C611BC">
        <w:rPr>
          <w:rFonts w:ascii="Times New Roman" w:hAnsi="Times New Roman" w:cs="Times New Roman"/>
          <w:sz w:val="24"/>
          <w:szCs w:val="24"/>
        </w:rPr>
        <w:t>. (n.d.). Association of Early Childhood Educators Ontario. </w:t>
      </w:r>
      <w:hyperlink r:id="rId9" w:history="1">
        <w:r w:rsidRPr="00C611BC">
          <w:rPr>
            <w:rStyle w:val="Hyperlink"/>
            <w:rFonts w:ascii="Times New Roman" w:hAnsi="Times New Roman" w:cs="Times New Roman"/>
            <w:sz w:val="24"/>
            <w:szCs w:val="24"/>
          </w:rPr>
          <w:t>https://www.aeceo.ca/ontario_renewed_early_years_and_child_care_policy_framework_five_year_action_plan</w:t>
        </w:r>
      </w:hyperlink>
    </w:p>
    <w:p w14:paraId="0CB297F8" w14:textId="3B5052EF" w:rsidR="00215DB6" w:rsidRPr="00C611BC" w:rsidRDefault="00215DB6" w:rsidP="00783BD7">
      <w:pPr>
        <w:shd w:val="clear" w:color="auto" w:fill="FFFFFF"/>
        <w:spacing w:before="100" w:beforeAutospacing="1" w:after="0" w:line="480" w:lineRule="auto"/>
        <w:ind w:left="720" w:hanging="720"/>
        <w:rPr>
          <w:rFonts w:ascii="Times New Roman" w:hAnsi="Times New Roman" w:cs="Times New Roman"/>
          <w:color w:val="1A1A1A"/>
          <w:sz w:val="24"/>
          <w:szCs w:val="24"/>
        </w:rPr>
      </w:pPr>
      <w:r w:rsidRPr="00C611BC">
        <w:rPr>
          <w:rFonts w:ascii="Times New Roman" w:hAnsi="Times New Roman" w:cs="Times New Roman"/>
          <w:sz w:val="24"/>
          <w:szCs w:val="24"/>
        </w:rPr>
        <w:t>Rincon-Gallardo, S., &amp; Fullan, M. (2016). Developing High-Quality Public Education in Canada: The Case of Ontario. In </w:t>
      </w:r>
      <w:r w:rsidRPr="00C611BC">
        <w:rPr>
          <w:rFonts w:ascii="Times New Roman" w:hAnsi="Times New Roman" w:cs="Times New Roman"/>
          <w:i/>
          <w:iCs/>
          <w:sz w:val="24"/>
          <w:szCs w:val="24"/>
        </w:rPr>
        <w:t>Global Education Reform</w:t>
      </w:r>
      <w:r w:rsidRPr="00C611BC">
        <w:rPr>
          <w:rFonts w:ascii="Times New Roman" w:hAnsi="Times New Roman" w:cs="Times New Roman"/>
          <w:sz w:val="24"/>
          <w:szCs w:val="24"/>
        </w:rPr>
        <w:t> (pp. 175-199). Routledge.</w:t>
      </w:r>
    </w:p>
    <w:p w14:paraId="4FDEED3F" w14:textId="77777777" w:rsidR="004B5C28" w:rsidRPr="00C611BC" w:rsidRDefault="004B5C28" w:rsidP="00783BD7">
      <w:pPr>
        <w:spacing w:after="0" w:line="480" w:lineRule="auto"/>
        <w:ind w:left="720" w:hanging="720"/>
        <w:contextualSpacing/>
        <w:rPr>
          <w:rFonts w:ascii="Times New Roman" w:hAnsi="Times New Roman" w:cs="Times New Roman"/>
          <w:sz w:val="24"/>
          <w:szCs w:val="24"/>
        </w:rPr>
      </w:pPr>
      <w:r w:rsidRPr="00C611BC">
        <w:rPr>
          <w:rFonts w:ascii="Times New Roman" w:hAnsi="Times New Roman" w:cs="Times New Roman"/>
          <w:sz w:val="24"/>
          <w:szCs w:val="24"/>
        </w:rPr>
        <w:t>Reid Lincoln, M. (2015). The Development of Learner Competencies and Personalized Learning in the Early Years: A Reggio-inspired Approach as Pedagogy.</w:t>
      </w:r>
    </w:p>
    <w:p w14:paraId="0209F518" w14:textId="3BC78765" w:rsidR="00215DB6" w:rsidRPr="00C611BC" w:rsidRDefault="00215DB6" w:rsidP="00783BD7">
      <w:pPr>
        <w:spacing w:after="0" w:line="480" w:lineRule="auto"/>
        <w:ind w:left="720" w:hanging="720"/>
        <w:contextualSpacing/>
        <w:rPr>
          <w:rFonts w:ascii="Times New Roman" w:hAnsi="Times New Roman" w:cs="Times New Roman"/>
          <w:sz w:val="24"/>
          <w:szCs w:val="24"/>
        </w:rPr>
      </w:pPr>
      <w:proofErr w:type="spellStart"/>
      <w:r w:rsidRPr="00C611BC">
        <w:rPr>
          <w:rFonts w:ascii="Times New Roman" w:hAnsi="Times New Roman" w:cs="Times New Roman"/>
          <w:sz w:val="24"/>
          <w:szCs w:val="24"/>
        </w:rPr>
        <w:t>Taouil</w:t>
      </w:r>
      <w:proofErr w:type="spellEnd"/>
      <w:r w:rsidRPr="00C611BC">
        <w:rPr>
          <w:rFonts w:ascii="Times New Roman" w:hAnsi="Times New Roman" w:cs="Times New Roman"/>
          <w:sz w:val="24"/>
          <w:szCs w:val="24"/>
        </w:rPr>
        <w:t>, M. M. (2019). An Examination of the Student Work Study Collaborative Inquiry in Ontario Schools.</w:t>
      </w:r>
    </w:p>
    <w:p w14:paraId="7F41B55A" w14:textId="290B8980" w:rsidR="00A2521A" w:rsidRPr="00C611BC" w:rsidRDefault="004B5C28" w:rsidP="00783BD7">
      <w:pPr>
        <w:spacing w:after="0" w:line="480" w:lineRule="auto"/>
        <w:ind w:left="720" w:hanging="720"/>
        <w:contextualSpacing/>
        <w:rPr>
          <w:rFonts w:ascii="Times New Roman" w:hAnsi="Times New Roman" w:cs="Times New Roman"/>
          <w:sz w:val="24"/>
          <w:szCs w:val="24"/>
        </w:rPr>
      </w:pPr>
      <w:r w:rsidRPr="00C611BC">
        <w:rPr>
          <w:rFonts w:ascii="Times New Roman" w:hAnsi="Times New Roman" w:cs="Times New Roman"/>
          <w:sz w:val="24"/>
          <w:szCs w:val="24"/>
        </w:rPr>
        <w:t>Youmans, A. S. (2016). </w:t>
      </w:r>
      <w:r w:rsidRPr="00C611BC">
        <w:rPr>
          <w:rFonts w:ascii="Times New Roman" w:hAnsi="Times New Roman" w:cs="Times New Roman"/>
          <w:i/>
          <w:iCs/>
          <w:sz w:val="24"/>
          <w:szCs w:val="24"/>
        </w:rPr>
        <w:t>An investigation of the features and effectiveness of the full-day early learning Kindergarten program in Ontario</w:t>
      </w:r>
      <w:r w:rsidRPr="00C611BC">
        <w:rPr>
          <w:rFonts w:ascii="Times New Roman" w:hAnsi="Times New Roman" w:cs="Times New Roman"/>
          <w:sz w:val="24"/>
          <w:szCs w:val="24"/>
        </w:rPr>
        <w:t> (Doctoral dissertation).</w:t>
      </w:r>
      <w:r w:rsidR="00CB4444">
        <w:rPr>
          <w:rFonts w:ascii="Times New Roman" w:hAnsi="Times New Roman" w:cs="Times New Roman"/>
          <w:sz w:val="24"/>
          <w:szCs w:val="24"/>
        </w:rPr>
        <w:t xml:space="preserve"> </w:t>
      </w:r>
    </w:p>
    <w:sectPr w:rsidR="00A2521A" w:rsidRPr="00C611BC" w:rsidSect="001862BC">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DD339" w14:textId="77777777" w:rsidR="00CB2038" w:rsidRDefault="00CB2038" w:rsidP="00E35AC3">
      <w:pPr>
        <w:spacing w:after="0" w:line="240" w:lineRule="auto"/>
      </w:pPr>
      <w:r>
        <w:separator/>
      </w:r>
    </w:p>
  </w:endnote>
  <w:endnote w:type="continuationSeparator" w:id="0">
    <w:p w14:paraId="7570A46B" w14:textId="77777777" w:rsidR="00CB2038" w:rsidRDefault="00CB2038" w:rsidP="00E3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9677A" w14:textId="77777777" w:rsidR="00CB2038" w:rsidRDefault="00CB2038" w:rsidP="00E35AC3">
      <w:pPr>
        <w:spacing w:after="0" w:line="240" w:lineRule="auto"/>
      </w:pPr>
      <w:r>
        <w:separator/>
      </w:r>
    </w:p>
  </w:footnote>
  <w:footnote w:type="continuationSeparator" w:id="0">
    <w:p w14:paraId="73387B34" w14:textId="77777777" w:rsidR="00CB2038" w:rsidRDefault="00CB2038" w:rsidP="00E35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85E2D" w14:textId="72C5195F" w:rsidR="00E35AC3" w:rsidRPr="001862BC" w:rsidRDefault="00E35AC3">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61294C">
      <w:rPr>
        <w:rFonts w:ascii="Times New Roman" w:hAnsi="Times New Roman" w:cs="Times New Roman"/>
        <w:noProof/>
        <w:sz w:val="24"/>
        <w:szCs w:val="24"/>
      </w:rPr>
      <w:t>8</w:t>
    </w:r>
    <w:r w:rsidRPr="001862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6E6D" w14:textId="7750C3C4" w:rsidR="001862BC" w:rsidRPr="001862BC" w:rsidRDefault="001862BC" w:rsidP="001862BC">
    <w:pPr>
      <w:pStyle w:val="Header"/>
      <w:rPr>
        <w:rFonts w:ascii="Times New Roman" w:hAnsi="Times New Roman" w:cs="Times New Roman"/>
        <w:sz w:val="24"/>
        <w:szCs w:val="24"/>
      </w:rPr>
    </w:pPr>
    <w:r w:rsidRPr="001862BC">
      <w:rPr>
        <w:rFonts w:ascii="Times New Roman" w:hAnsi="Times New Roman" w:cs="Times New Roman"/>
        <w:sz w:val="24"/>
        <w:szCs w:val="24"/>
      </w:rPr>
      <w:t>LEARNING SYSTEMS</w:t>
    </w:r>
    <w:r w:rsidRPr="001862BC">
      <w:rPr>
        <w:rFonts w:ascii="Times New Roman" w:hAnsi="Times New Roman" w:cs="Times New Roman"/>
        <w:sz w:val="24"/>
        <w:szCs w:val="24"/>
      </w:rPr>
      <w:tab/>
    </w:r>
    <w:r w:rsidRPr="001862BC">
      <w:rPr>
        <w:rFonts w:ascii="Times New Roman" w:hAnsi="Times New Roman" w:cs="Times New Roman"/>
        <w:sz w:val="24"/>
        <w:szCs w:val="24"/>
      </w:rPr>
      <w:tab/>
    </w:r>
    <w:r w:rsidRPr="001862BC">
      <w:rPr>
        <w:rFonts w:ascii="Times New Roman" w:hAnsi="Times New Roman" w:cs="Times New Roman"/>
        <w:sz w:val="24"/>
        <w:szCs w:val="24"/>
      </w:rPr>
      <w:fldChar w:fldCharType="begin"/>
    </w:r>
    <w:r w:rsidRPr="001862BC">
      <w:rPr>
        <w:rFonts w:ascii="Times New Roman" w:hAnsi="Times New Roman" w:cs="Times New Roman"/>
        <w:sz w:val="24"/>
        <w:szCs w:val="24"/>
      </w:rPr>
      <w:instrText xml:space="preserve"> PAGE   \* MERGEFORMAT </w:instrText>
    </w:r>
    <w:r w:rsidRPr="001862BC">
      <w:rPr>
        <w:rFonts w:ascii="Times New Roman" w:hAnsi="Times New Roman" w:cs="Times New Roman"/>
        <w:sz w:val="24"/>
        <w:szCs w:val="24"/>
      </w:rPr>
      <w:fldChar w:fldCharType="separate"/>
    </w:r>
    <w:r w:rsidR="0061294C">
      <w:rPr>
        <w:rFonts w:ascii="Times New Roman" w:hAnsi="Times New Roman" w:cs="Times New Roman"/>
        <w:noProof/>
        <w:sz w:val="24"/>
        <w:szCs w:val="24"/>
      </w:rPr>
      <w:t>1</w:t>
    </w:r>
    <w:r w:rsidRPr="001862BC">
      <w:rPr>
        <w:rFonts w:ascii="Times New Roman" w:hAnsi="Times New Roman" w:cs="Times New Roman"/>
        <w:noProof/>
        <w:sz w:val="24"/>
        <w:szCs w:val="24"/>
      </w:rPr>
      <w:fldChar w:fldCharType="end"/>
    </w:r>
  </w:p>
  <w:p w14:paraId="6BDF5C14" w14:textId="77777777" w:rsidR="00E35AC3" w:rsidRDefault="00E35A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67421"/>
    <w:multiLevelType w:val="multilevel"/>
    <w:tmpl w:val="D2EA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A07F71"/>
    <w:multiLevelType w:val="multilevel"/>
    <w:tmpl w:val="E8F6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91B49"/>
    <w:multiLevelType w:val="multilevel"/>
    <w:tmpl w:val="EF70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1C"/>
    <w:rsid w:val="00084B1C"/>
    <w:rsid w:val="000A0582"/>
    <w:rsid w:val="000D6E2F"/>
    <w:rsid w:val="000E60A5"/>
    <w:rsid w:val="000F3649"/>
    <w:rsid w:val="0010451B"/>
    <w:rsid w:val="00154C89"/>
    <w:rsid w:val="00173E29"/>
    <w:rsid w:val="001862BC"/>
    <w:rsid w:val="001B4E42"/>
    <w:rsid w:val="00215DB6"/>
    <w:rsid w:val="002A1A45"/>
    <w:rsid w:val="002B24AB"/>
    <w:rsid w:val="003044D6"/>
    <w:rsid w:val="00410C6D"/>
    <w:rsid w:val="004B5C28"/>
    <w:rsid w:val="0052047E"/>
    <w:rsid w:val="005E6EED"/>
    <w:rsid w:val="0061294C"/>
    <w:rsid w:val="0062206A"/>
    <w:rsid w:val="006360D1"/>
    <w:rsid w:val="007156ED"/>
    <w:rsid w:val="00772AA2"/>
    <w:rsid w:val="00783BD7"/>
    <w:rsid w:val="007F5B91"/>
    <w:rsid w:val="008066B8"/>
    <w:rsid w:val="0085474B"/>
    <w:rsid w:val="00907815"/>
    <w:rsid w:val="009353EB"/>
    <w:rsid w:val="00966B66"/>
    <w:rsid w:val="00A143CF"/>
    <w:rsid w:val="00A2521A"/>
    <w:rsid w:val="00A630D5"/>
    <w:rsid w:val="00AD59CA"/>
    <w:rsid w:val="00B40936"/>
    <w:rsid w:val="00B44091"/>
    <w:rsid w:val="00B44FFC"/>
    <w:rsid w:val="00C135AE"/>
    <w:rsid w:val="00C611BC"/>
    <w:rsid w:val="00CB2038"/>
    <w:rsid w:val="00CB4444"/>
    <w:rsid w:val="00DE060E"/>
    <w:rsid w:val="00E243EB"/>
    <w:rsid w:val="00E35AC3"/>
    <w:rsid w:val="00ED0BAF"/>
    <w:rsid w:val="00FE5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C6F60"/>
  <w15:chartTrackingRefBased/>
  <w15:docId w15:val="{F28049EE-86CE-48FF-B33F-227FAC7F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AC3"/>
  </w:style>
  <w:style w:type="paragraph" w:styleId="Footer">
    <w:name w:val="footer"/>
    <w:basedOn w:val="Normal"/>
    <w:link w:val="FooterChar"/>
    <w:uiPriority w:val="99"/>
    <w:unhideWhenUsed/>
    <w:rsid w:val="00E35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AC3"/>
  </w:style>
  <w:style w:type="character" w:styleId="Hyperlink">
    <w:name w:val="Hyperlink"/>
    <w:basedOn w:val="DefaultParagraphFont"/>
    <w:uiPriority w:val="99"/>
    <w:unhideWhenUsed/>
    <w:rsid w:val="00215DB6"/>
    <w:rPr>
      <w:color w:val="0563C1" w:themeColor="hyperlink"/>
      <w:u w:val="single"/>
    </w:rPr>
  </w:style>
  <w:style w:type="character" w:customStyle="1" w:styleId="UnresolvedMention">
    <w:name w:val="Unresolved Mention"/>
    <w:basedOn w:val="DefaultParagraphFont"/>
    <w:uiPriority w:val="99"/>
    <w:semiHidden/>
    <w:unhideWhenUsed/>
    <w:rsid w:val="00215DB6"/>
    <w:rPr>
      <w:color w:val="605E5C"/>
      <w:shd w:val="clear" w:color="auto" w:fill="E1DFDD"/>
    </w:rPr>
  </w:style>
  <w:style w:type="character" w:styleId="Emphasis">
    <w:name w:val="Emphasis"/>
    <w:basedOn w:val="DefaultParagraphFont"/>
    <w:uiPriority w:val="20"/>
    <w:qFormat/>
    <w:rsid w:val="00215DB6"/>
    <w:rPr>
      <w:i/>
      <w:iCs/>
    </w:rPr>
  </w:style>
  <w:style w:type="paragraph" w:styleId="NormalWeb">
    <w:name w:val="Normal (Web)"/>
    <w:basedOn w:val="Normal"/>
    <w:uiPriority w:val="99"/>
    <w:semiHidden/>
    <w:unhideWhenUsed/>
    <w:rsid w:val="00A252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245194">
      <w:bodyDiv w:val="1"/>
      <w:marLeft w:val="0"/>
      <w:marRight w:val="0"/>
      <w:marTop w:val="0"/>
      <w:marBottom w:val="0"/>
      <w:divBdr>
        <w:top w:val="none" w:sz="0" w:space="0" w:color="auto"/>
        <w:left w:val="none" w:sz="0" w:space="0" w:color="auto"/>
        <w:bottom w:val="none" w:sz="0" w:space="0" w:color="auto"/>
        <w:right w:val="none" w:sz="0" w:space="0" w:color="auto"/>
      </w:divBdr>
    </w:div>
    <w:div w:id="599262203">
      <w:bodyDiv w:val="1"/>
      <w:marLeft w:val="0"/>
      <w:marRight w:val="0"/>
      <w:marTop w:val="0"/>
      <w:marBottom w:val="0"/>
      <w:divBdr>
        <w:top w:val="none" w:sz="0" w:space="0" w:color="auto"/>
        <w:left w:val="none" w:sz="0" w:space="0" w:color="auto"/>
        <w:bottom w:val="none" w:sz="0" w:space="0" w:color="auto"/>
        <w:right w:val="none" w:sz="0" w:space="0" w:color="auto"/>
      </w:divBdr>
    </w:div>
    <w:div w:id="721636176">
      <w:bodyDiv w:val="1"/>
      <w:marLeft w:val="0"/>
      <w:marRight w:val="0"/>
      <w:marTop w:val="0"/>
      <w:marBottom w:val="0"/>
      <w:divBdr>
        <w:top w:val="none" w:sz="0" w:space="0" w:color="auto"/>
        <w:left w:val="none" w:sz="0" w:space="0" w:color="auto"/>
        <w:bottom w:val="none" w:sz="0" w:space="0" w:color="auto"/>
        <w:right w:val="none" w:sz="0" w:space="0" w:color="auto"/>
      </w:divBdr>
    </w:div>
    <w:div w:id="908467473">
      <w:bodyDiv w:val="1"/>
      <w:marLeft w:val="0"/>
      <w:marRight w:val="0"/>
      <w:marTop w:val="0"/>
      <w:marBottom w:val="0"/>
      <w:divBdr>
        <w:top w:val="none" w:sz="0" w:space="0" w:color="auto"/>
        <w:left w:val="none" w:sz="0" w:space="0" w:color="auto"/>
        <w:bottom w:val="none" w:sz="0" w:space="0" w:color="auto"/>
        <w:right w:val="none" w:sz="0" w:space="0" w:color="auto"/>
      </w:divBdr>
      <w:divsChild>
        <w:div w:id="849175577">
          <w:marLeft w:val="0"/>
          <w:marRight w:val="0"/>
          <w:marTop w:val="0"/>
          <w:marBottom w:val="0"/>
          <w:divBdr>
            <w:top w:val="none" w:sz="0" w:space="0" w:color="auto"/>
            <w:left w:val="none" w:sz="0" w:space="0" w:color="auto"/>
            <w:bottom w:val="none" w:sz="0" w:space="0" w:color="auto"/>
            <w:right w:val="none" w:sz="0" w:space="0" w:color="auto"/>
          </w:divBdr>
        </w:div>
      </w:divsChild>
    </w:div>
    <w:div w:id="987712460">
      <w:bodyDiv w:val="1"/>
      <w:marLeft w:val="0"/>
      <w:marRight w:val="0"/>
      <w:marTop w:val="0"/>
      <w:marBottom w:val="0"/>
      <w:divBdr>
        <w:top w:val="none" w:sz="0" w:space="0" w:color="auto"/>
        <w:left w:val="none" w:sz="0" w:space="0" w:color="auto"/>
        <w:bottom w:val="none" w:sz="0" w:space="0" w:color="auto"/>
        <w:right w:val="none" w:sz="0" w:space="0" w:color="auto"/>
      </w:divBdr>
    </w:div>
    <w:div w:id="1196776288">
      <w:bodyDiv w:val="1"/>
      <w:marLeft w:val="0"/>
      <w:marRight w:val="0"/>
      <w:marTop w:val="0"/>
      <w:marBottom w:val="0"/>
      <w:divBdr>
        <w:top w:val="none" w:sz="0" w:space="0" w:color="auto"/>
        <w:left w:val="none" w:sz="0" w:space="0" w:color="auto"/>
        <w:bottom w:val="none" w:sz="0" w:space="0" w:color="auto"/>
        <w:right w:val="none" w:sz="0" w:space="0" w:color="auto"/>
      </w:divBdr>
    </w:div>
    <w:div w:id="1328748672">
      <w:bodyDiv w:val="1"/>
      <w:marLeft w:val="0"/>
      <w:marRight w:val="0"/>
      <w:marTop w:val="0"/>
      <w:marBottom w:val="0"/>
      <w:divBdr>
        <w:top w:val="none" w:sz="0" w:space="0" w:color="auto"/>
        <w:left w:val="none" w:sz="0" w:space="0" w:color="auto"/>
        <w:bottom w:val="none" w:sz="0" w:space="0" w:color="auto"/>
        <w:right w:val="none" w:sz="0" w:space="0" w:color="auto"/>
      </w:divBdr>
    </w:div>
    <w:div w:id="1887253798">
      <w:bodyDiv w:val="1"/>
      <w:marLeft w:val="0"/>
      <w:marRight w:val="0"/>
      <w:marTop w:val="0"/>
      <w:marBottom w:val="0"/>
      <w:divBdr>
        <w:top w:val="none" w:sz="0" w:space="0" w:color="auto"/>
        <w:left w:val="none" w:sz="0" w:space="0" w:color="auto"/>
        <w:bottom w:val="none" w:sz="0" w:space="0" w:color="auto"/>
        <w:right w:val="none" w:sz="0" w:space="0" w:color="auto"/>
      </w:divBdr>
      <w:divsChild>
        <w:div w:id="1947692012">
          <w:marLeft w:val="0"/>
          <w:marRight w:val="0"/>
          <w:marTop w:val="0"/>
          <w:marBottom w:val="0"/>
          <w:divBdr>
            <w:top w:val="none" w:sz="0" w:space="0" w:color="auto"/>
            <w:left w:val="none" w:sz="0" w:space="0" w:color="auto"/>
            <w:bottom w:val="none" w:sz="0" w:space="0" w:color="auto"/>
            <w:right w:val="none" w:sz="0" w:space="0" w:color="auto"/>
          </w:divBdr>
        </w:div>
      </w:divsChild>
    </w:div>
    <w:div w:id="189138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gov.on.ca/eng/policyfunding/succes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nada.ca/en/employment-social-development/programs/indigenous-early-learning/2018-framework.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eceo.ca/ontario_renewed_early_years_and_child_care_policy_framework_five_year_action_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3</cp:revision>
  <dcterms:created xsi:type="dcterms:W3CDTF">2020-09-29T12:58:00Z</dcterms:created>
  <dcterms:modified xsi:type="dcterms:W3CDTF">2020-09-29T12:58:00Z</dcterms:modified>
</cp:coreProperties>
</file>